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FC" w:rsidRPr="00B62A52" w:rsidRDefault="008477AA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2A52">
        <w:rPr>
          <w:rFonts w:ascii="Times New Roman" w:eastAsia="標楷體" w:hAnsi="標楷體" w:cs="Times New Roman"/>
          <w:b/>
          <w:color w:val="000000" w:themeColor="text1"/>
        </w:rPr>
        <w:t>信用風險管理研究學群</w:t>
      </w:r>
      <w:r w:rsidR="0088769B" w:rsidRPr="00B62A52">
        <w:rPr>
          <w:rFonts w:ascii="Times New Roman" w:eastAsia="標楷體" w:hAnsi="標楷體" w:cs="Times New Roman"/>
          <w:b/>
          <w:color w:val="000000" w:themeColor="text1"/>
        </w:rPr>
        <w:t>第</w:t>
      </w:r>
      <w:r w:rsidR="00DB5AF0" w:rsidRPr="00B62A52">
        <w:rPr>
          <w:rFonts w:ascii="Times New Roman" w:eastAsia="標楷體" w:hAnsi="標楷體" w:cs="Times New Roman" w:hint="eastAsia"/>
          <w:b/>
          <w:color w:val="000000" w:themeColor="text1"/>
        </w:rPr>
        <w:t>四</w:t>
      </w:r>
      <w:r w:rsidR="0088769B" w:rsidRPr="00B62A52">
        <w:rPr>
          <w:rFonts w:ascii="Times New Roman" w:eastAsia="標楷體" w:hAnsi="標楷體" w:cs="Times New Roman"/>
          <w:b/>
          <w:color w:val="000000" w:themeColor="text1"/>
        </w:rPr>
        <w:t>次研討</w:t>
      </w:r>
    </w:p>
    <w:p w:rsidR="008477AA" w:rsidRPr="00B62A52" w:rsidRDefault="008477AA">
      <w:pPr>
        <w:rPr>
          <w:rFonts w:ascii="Times New Roman" w:eastAsia="標楷體" w:hAnsi="Times New Roman" w:cs="Times New Roman"/>
          <w:color w:val="000000" w:themeColor="text1"/>
        </w:rPr>
      </w:pPr>
      <w:r w:rsidRPr="00B62A52">
        <w:rPr>
          <w:rFonts w:ascii="Times New Roman" w:eastAsia="標楷體" w:hAnsi="標楷體" w:cs="Times New Roman"/>
          <w:color w:val="000000" w:themeColor="text1"/>
        </w:rPr>
        <w:t>時間：</w:t>
      </w:r>
      <w:r w:rsidR="0063313F" w:rsidRPr="00B62A52">
        <w:rPr>
          <w:rFonts w:ascii="Times New Roman" w:eastAsia="標楷體" w:hAnsi="標楷體" w:cs="Times New Roman"/>
          <w:color w:val="000000" w:themeColor="text1"/>
        </w:rPr>
        <w:t>民國</w:t>
      </w:r>
      <w:r w:rsidR="00600C83" w:rsidRPr="00B62A52">
        <w:rPr>
          <w:rFonts w:ascii="Times New Roman" w:eastAsia="標楷體" w:hAnsi="Times New Roman" w:cs="Times New Roman"/>
          <w:color w:val="000000" w:themeColor="text1"/>
        </w:rPr>
        <w:t xml:space="preserve"> 100</w:t>
      </w:r>
      <w:r w:rsidR="0063313F" w:rsidRPr="00B62A5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63313F" w:rsidRPr="00B62A52">
        <w:rPr>
          <w:rFonts w:ascii="Times New Roman" w:eastAsia="標楷體" w:hAnsi="標楷體" w:cs="Times New Roman"/>
          <w:color w:val="000000" w:themeColor="text1"/>
        </w:rPr>
        <w:t>年</w:t>
      </w:r>
      <w:r w:rsidR="0063313F" w:rsidRPr="00B62A5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861550" w:rsidRPr="00B62A52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63313F" w:rsidRPr="00B62A5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63313F" w:rsidRPr="00B62A52">
        <w:rPr>
          <w:rFonts w:ascii="Times New Roman" w:eastAsia="標楷體" w:hAnsi="標楷體" w:cs="Times New Roman"/>
          <w:color w:val="000000" w:themeColor="text1"/>
        </w:rPr>
        <w:t>月</w:t>
      </w:r>
      <w:r w:rsidR="00600C83" w:rsidRPr="00B62A5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DB5AF0" w:rsidRPr="00B62A52">
        <w:rPr>
          <w:rFonts w:ascii="Times New Roman" w:eastAsia="標楷體" w:hAnsi="Times New Roman" w:cs="Times New Roman" w:hint="eastAsia"/>
          <w:color w:val="000000" w:themeColor="text1"/>
        </w:rPr>
        <w:t>28</w:t>
      </w:r>
      <w:r w:rsidR="0063313F" w:rsidRPr="00B62A5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63313F" w:rsidRPr="00B62A52">
        <w:rPr>
          <w:rFonts w:ascii="Times New Roman" w:eastAsia="標楷體" w:hAnsi="標楷體" w:cs="Times New Roman"/>
          <w:color w:val="000000" w:themeColor="text1"/>
        </w:rPr>
        <w:t>日</w:t>
      </w:r>
      <w:r w:rsidR="0063313F" w:rsidRPr="00B62A5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="00452169" w:rsidRPr="00B62A52">
        <w:rPr>
          <w:rFonts w:ascii="Times New Roman" w:eastAsia="標楷體" w:hAnsi="Times New Roman" w:cs="Times New Roman"/>
          <w:color w:val="000000" w:themeColor="text1"/>
        </w:rPr>
        <w:t>15</w:t>
      </w:r>
      <w:r w:rsidR="0063313F" w:rsidRPr="00B62A52">
        <w:rPr>
          <w:rFonts w:ascii="Times New Roman" w:eastAsia="標楷體" w:hAnsi="Times New Roman" w:cs="Times New Roman"/>
          <w:color w:val="000000" w:themeColor="text1"/>
        </w:rPr>
        <w:t>:</w:t>
      </w:r>
      <w:r w:rsidR="00452169" w:rsidRPr="00B62A52">
        <w:rPr>
          <w:rFonts w:ascii="Times New Roman" w:eastAsia="標楷體" w:hAnsi="Times New Roman" w:cs="Times New Roman"/>
          <w:color w:val="000000" w:themeColor="text1"/>
        </w:rPr>
        <w:t>10-</w:t>
      </w:r>
      <w:r w:rsidR="0063313F" w:rsidRPr="00B62A52">
        <w:rPr>
          <w:rFonts w:ascii="Times New Roman" w:eastAsia="標楷體" w:hAnsi="Times New Roman" w:cs="Times New Roman"/>
          <w:color w:val="000000" w:themeColor="text1"/>
        </w:rPr>
        <w:t xml:space="preserve">  </w:t>
      </w:r>
    </w:p>
    <w:p w:rsidR="008477AA" w:rsidRPr="00B62A52" w:rsidRDefault="008477AA">
      <w:pPr>
        <w:rPr>
          <w:rFonts w:ascii="Times New Roman" w:eastAsia="標楷體" w:hAnsi="Times New Roman" w:cs="Times New Roman"/>
          <w:color w:val="000000" w:themeColor="text1"/>
        </w:rPr>
      </w:pPr>
      <w:r w:rsidRPr="00B62A52">
        <w:rPr>
          <w:rFonts w:ascii="Times New Roman" w:eastAsia="標楷體" w:hAnsi="標楷體" w:cs="Times New Roman"/>
          <w:color w:val="000000" w:themeColor="text1"/>
        </w:rPr>
        <w:t>地點：</w:t>
      </w:r>
      <w:r w:rsidR="00600C83" w:rsidRPr="00B62A52">
        <w:rPr>
          <w:rFonts w:ascii="Times New Roman" w:eastAsia="標楷體" w:hAnsi="標楷體" w:cs="Times New Roman"/>
          <w:color w:val="000000" w:themeColor="text1"/>
        </w:rPr>
        <w:t>共</w:t>
      </w:r>
      <w:r w:rsidR="00600C83" w:rsidRPr="00B62A52">
        <w:rPr>
          <w:rFonts w:ascii="Times New Roman" w:eastAsia="標楷體" w:hAnsi="Times New Roman" w:cs="Times New Roman"/>
          <w:color w:val="000000" w:themeColor="text1"/>
        </w:rPr>
        <w:t>D201</w:t>
      </w:r>
    </w:p>
    <w:p w:rsidR="008477AA" w:rsidRPr="00B62A52" w:rsidRDefault="008477AA">
      <w:pPr>
        <w:rPr>
          <w:rFonts w:ascii="Times New Roman" w:eastAsia="標楷體" w:hAnsi="Times New Roman" w:cs="Times New Roman"/>
          <w:color w:val="000000" w:themeColor="text1"/>
        </w:rPr>
      </w:pPr>
      <w:r w:rsidRPr="00B62A52">
        <w:rPr>
          <w:rFonts w:ascii="Times New Roman" w:eastAsia="標楷體" w:hAnsi="標楷體" w:cs="Times New Roman"/>
          <w:color w:val="000000" w:themeColor="text1"/>
        </w:rPr>
        <w:t>參與人員：</w:t>
      </w:r>
    </w:p>
    <w:tbl>
      <w:tblPr>
        <w:tblStyle w:val="a3"/>
        <w:tblW w:w="0" w:type="auto"/>
        <w:tblLook w:val="04A0"/>
      </w:tblPr>
      <w:tblGrid>
        <w:gridCol w:w="2824"/>
        <w:gridCol w:w="2824"/>
        <w:gridCol w:w="2824"/>
      </w:tblGrid>
      <w:tr w:rsidR="00861550" w:rsidRPr="00B62A52" w:rsidTr="00215899">
        <w:trPr>
          <w:trHeight w:val="393"/>
        </w:trPr>
        <w:tc>
          <w:tcPr>
            <w:tcW w:w="2824" w:type="dxa"/>
          </w:tcPr>
          <w:p w:rsidR="00861550" w:rsidRPr="00B62A52" w:rsidRDefault="00861550" w:rsidP="005E1F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林達榮教授</w:t>
            </w:r>
          </w:p>
        </w:tc>
        <w:tc>
          <w:tcPr>
            <w:tcW w:w="2824" w:type="dxa"/>
          </w:tcPr>
          <w:p w:rsidR="00861550" w:rsidRPr="00B62A52" w:rsidRDefault="00861550" w:rsidP="005E1F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呂進瑞副教授</w:t>
            </w:r>
          </w:p>
        </w:tc>
        <w:tc>
          <w:tcPr>
            <w:tcW w:w="2824" w:type="dxa"/>
          </w:tcPr>
          <w:p w:rsidR="00861550" w:rsidRPr="00B62A52" w:rsidRDefault="00861550" w:rsidP="00602BD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蕭義龍助理教授</w:t>
            </w:r>
          </w:p>
        </w:tc>
      </w:tr>
      <w:tr w:rsidR="008708AD" w:rsidRPr="00B62A52" w:rsidTr="00215899">
        <w:trPr>
          <w:trHeight w:val="413"/>
        </w:trPr>
        <w:tc>
          <w:tcPr>
            <w:tcW w:w="2824" w:type="dxa"/>
          </w:tcPr>
          <w:p w:rsidR="008708AD" w:rsidRPr="00B62A52" w:rsidRDefault="008708AD" w:rsidP="00C8680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侯介澤助理教授</w:t>
            </w:r>
          </w:p>
        </w:tc>
        <w:tc>
          <w:tcPr>
            <w:tcW w:w="2824" w:type="dxa"/>
          </w:tcPr>
          <w:p w:rsidR="008708AD" w:rsidRPr="00B62A52" w:rsidRDefault="008708AD" w:rsidP="0041592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彭俊能博士班研究生</w:t>
            </w:r>
          </w:p>
        </w:tc>
        <w:tc>
          <w:tcPr>
            <w:tcW w:w="2824" w:type="dxa"/>
          </w:tcPr>
          <w:p w:rsidR="008708AD" w:rsidRPr="00B62A52" w:rsidRDefault="008708AD" w:rsidP="0041592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李佳航碩士班研究生</w:t>
            </w:r>
          </w:p>
        </w:tc>
      </w:tr>
      <w:tr w:rsidR="008708AD" w:rsidRPr="00B62A52" w:rsidTr="008708AD">
        <w:trPr>
          <w:trHeight w:val="419"/>
        </w:trPr>
        <w:tc>
          <w:tcPr>
            <w:tcW w:w="2824" w:type="dxa"/>
          </w:tcPr>
          <w:p w:rsidR="008708AD" w:rsidRPr="00B62A52" w:rsidRDefault="008708AD" w:rsidP="00075EC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</w:rPr>
              <w:t>吳仲恩</w:t>
            </w: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碩士班研究生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8708AD" w:rsidRPr="00B62A52" w:rsidRDefault="008708AD" w:rsidP="00075EC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</w:rPr>
              <w:t>陳</w:t>
            </w:r>
            <w:proofErr w:type="gramStart"/>
            <w:r w:rsidRPr="00B62A52">
              <w:rPr>
                <w:rFonts w:ascii="Times New Roman" w:eastAsia="標楷體" w:hAnsi="標楷體" w:cs="Times New Roman"/>
                <w:color w:val="000000" w:themeColor="text1"/>
              </w:rPr>
              <w:t>姵</w:t>
            </w:r>
            <w:proofErr w:type="gramEnd"/>
            <w:r w:rsidRPr="00B62A52">
              <w:rPr>
                <w:rFonts w:ascii="Times New Roman" w:eastAsia="標楷體" w:hAnsi="標楷體" w:cs="Times New Roman"/>
                <w:color w:val="000000" w:themeColor="text1"/>
              </w:rPr>
              <w:t>棋</w:t>
            </w: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碩士班研究生</w:t>
            </w:r>
          </w:p>
        </w:tc>
        <w:tc>
          <w:tcPr>
            <w:tcW w:w="2824" w:type="dxa"/>
          </w:tcPr>
          <w:p w:rsidR="008708AD" w:rsidRPr="00B62A52" w:rsidRDefault="008708AD">
            <w:pPr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</w:rPr>
              <w:t>林彥伯</w:t>
            </w: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碩士班研究生</w:t>
            </w:r>
          </w:p>
        </w:tc>
      </w:tr>
      <w:tr w:rsidR="008708AD" w:rsidRPr="00B62A52" w:rsidTr="008708AD">
        <w:trPr>
          <w:trHeight w:val="425"/>
        </w:trPr>
        <w:tc>
          <w:tcPr>
            <w:tcW w:w="2824" w:type="dxa"/>
          </w:tcPr>
          <w:p w:rsidR="008708AD" w:rsidRPr="00B62A52" w:rsidRDefault="008708A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62A52">
              <w:rPr>
                <w:rFonts w:ascii="Times New Roman" w:eastAsia="標楷體" w:hAnsi="標楷體" w:cs="Times New Roman"/>
                <w:color w:val="000000" w:themeColor="text1"/>
              </w:rPr>
              <w:t>曾振源</w:t>
            </w:r>
            <w:r w:rsidRPr="00B62A5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碩士班研究生</w:t>
            </w:r>
          </w:p>
        </w:tc>
        <w:tc>
          <w:tcPr>
            <w:tcW w:w="2824" w:type="dxa"/>
            <w:tcBorders>
              <w:tl2br w:val="single" w:sz="4" w:space="0" w:color="auto"/>
            </w:tcBorders>
          </w:tcPr>
          <w:p w:rsidR="008708AD" w:rsidRPr="00B62A52" w:rsidRDefault="008708A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24" w:type="dxa"/>
            <w:tcBorders>
              <w:tl2br w:val="single" w:sz="4" w:space="0" w:color="auto"/>
            </w:tcBorders>
          </w:tcPr>
          <w:p w:rsidR="008708AD" w:rsidRPr="00B62A52" w:rsidRDefault="008708A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8477AA" w:rsidRPr="00B62A52" w:rsidRDefault="008477AA">
      <w:pPr>
        <w:rPr>
          <w:rFonts w:ascii="Times New Roman" w:eastAsia="標楷體" w:hAnsi="Times New Roman" w:cs="Times New Roman"/>
          <w:color w:val="000000" w:themeColor="text1"/>
        </w:rPr>
      </w:pPr>
    </w:p>
    <w:p w:rsidR="00EA1722" w:rsidRPr="00B62A52" w:rsidRDefault="001D1A73" w:rsidP="00714FFF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B62A52">
        <w:rPr>
          <w:rFonts w:ascii="Times New Roman" w:eastAsia="標楷體" w:hAnsi="標楷體" w:cs="Times New Roman"/>
          <w:color w:val="000000" w:themeColor="text1"/>
        </w:rPr>
        <w:t>會議內容：</w:t>
      </w:r>
    </w:p>
    <w:p w:rsidR="00861550" w:rsidRPr="00B62A52" w:rsidRDefault="00EA1722" w:rsidP="00714FFF">
      <w:pPr>
        <w:spacing w:line="360" w:lineRule="auto"/>
        <w:rPr>
          <w:rFonts w:ascii="Times New Roman" w:eastAsia="標楷體" w:hAnsi="標楷體" w:cs="Times New Roman"/>
          <w:color w:val="000000" w:themeColor="text1"/>
        </w:rPr>
      </w:pPr>
      <w:r w:rsidRPr="00B62A52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主講人：</w:t>
      </w:r>
      <w:r w:rsidR="00DB5AF0" w:rsidRPr="00B62A52">
        <w:rPr>
          <w:rFonts w:ascii="Times New Roman" w:eastAsia="標楷體" w:hAnsi="標楷體" w:cs="Times New Roman"/>
          <w:color w:val="000000" w:themeColor="text1"/>
        </w:rPr>
        <w:t>蕭義龍　助理教授</w:t>
      </w:r>
    </w:p>
    <w:p w:rsidR="008477AA" w:rsidRPr="00B62A52" w:rsidRDefault="00EA1722" w:rsidP="00714FFF">
      <w:pPr>
        <w:spacing w:line="360" w:lineRule="auto"/>
        <w:rPr>
          <w:rFonts w:ascii="Times New Roman" w:eastAsia="標楷體" w:hAnsi="標楷體" w:cs="Times New Roman"/>
          <w:color w:val="000000" w:themeColor="text1"/>
        </w:rPr>
      </w:pPr>
      <w:r w:rsidRPr="00B62A52">
        <w:rPr>
          <w:rFonts w:ascii="Times New Roman" w:eastAsia="標楷體" w:hAnsi="標楷體" w:cs="Times New Roman"/>
          <w:color w:val="000000" w:themeColor="text1"/>
        </w:rPr>
        <w:t>講題：</w:t>
      </w:r>
      <w:r w:rsidR="00DB5AF0" w:rsidRPr="00B62A52">
        <w:rPr>
          <w:rFonts w:ascii="Times New Roman" w:eastAsia="標楷體" w:hAnsi="標楷體" w:cs="Times New Roman"/>
          <w:color w:val="000000" w:themeColor="text1"/>
        </w:rPr>
        <w:t>信用風險與數值方法分析</w:t>
      </w:r>
    </w:p>
    <w:p w:rsidR="00DB5AF0" w:rsidRPr="00B62A52" w:rsidRDefault="00DB5AF0" w:rsidP="00714FFF">
      <w:pPr>
        <w:spacing w:line="360" w:lineRule="auto"/>
        <w:rPr>
          <w:rFonts w:ascii="Times New Roman" w:eastAsia="標楷體" w:hAnsi="標楷體" w:cs="Times New Roman"/>
          <w:color w:val="000000" w:themeColor="text1"/>
        </w:rPr>
      </w:pPr>
      <w:r w:rsidRPr="00B62A52">
        <w:rPr>
          <w:rFonts w:ascii="Times New Roman" w:eastAsia="標楷體" w:hAnsi="標楷體" w:cs="Times New Roman" w:hint="eastAsia"/>
          <w:color w:val="000000" w:themeColor="text1"/>
        </w:rPr>
        <w:t xml:space="preserve">      </w:t>
      </w:r>
      <w:r w:rsidRPr="00B62A52">
        <w:rPr>
          <w:rFonts w:ascii="Times New Roman" w:eastAsia="標楷體" w:hAnsi="標楷體" w:cs="Times New Roman"/>
          <w:color w:val="000000" w:themeColor="text1"/>
        </w:rPr>
        <w:t>Boundary element method on the application of credit risk</w:t>
      </w:r>
    </w:p>
    <w:p w:rsidR="00E7521E" w:rsidRPr="00B62A52" w:rsidRDefault="00C94AFE" w:rsidP="00A616B1">
      <w:pPr>
        <w:spacing w:line="360" w:lineRule="auto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  <w:r w:rsidRPr="00B62A52">
        <w:rPr>
          <w:rFonts w:ascii="Times New Roman" w:eastAsia="標楷體" w:hAnsi="標楷體" w:cs="Times New Roman" w:hint="eastAsia"/>
          <w:color w:val="000000" w:themeColor="text1"/>
        </w:rPr>
        <w:t xml:space="preserve">     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</w:rPr>
        <w:t>本次研討主題由蕭教授主講，其餘成員參與討論。</w:t>
      </w:r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主要介紹</w:t>
      </w:r>
      <w:r w:rsidR="00F05478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邊界積分法和邊界元素法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，以及如何</w:t>
      </w:r>
      <w:r w:rsidR="00F05478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運用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這兩</w:t>
      </w:r>
      <w:proofErr w:type="gramStart"/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個</w:t>
      </w:r>
      <w:proofErr w:type="gramEnd"/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方法</w:t>
      </w:r>
      <w:r w:rsidR="00F05478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在信用風險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管理</w:t>
      </w:r>
      <w:r w:rsidR="00DF5DD7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議題</w:t>
      </w:r>
      <w:r w:rsidR="00F05478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。</w:t>
      </w:r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邊界積分法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(boundary </w:t>
      </w:r>
      <w:r w:rsidR="00D079D7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integral</w:t>
      </w:r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 method)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為</w:t>
      </w:r>
      <w:r w:rsidR="00F05478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一種</w:t>
      </w:r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數值方法，其計算較為精</w:t>
      </w:r>
      <w:proofErr w:type="gramStart"/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準</w:t>
      </w:r>
      <w:proofErr w:type="gramEnd"/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，其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估計</w:t>
      </w:r>
      <w:r w:rsidR="002C191F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值也近乎封閉解，相較於其他方法</w:t>
      </w:r>
      <w:r w:rsidR="000B6CDD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="00CB3E00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(</w:t>
      </w:r>
      <w:r w:rsidR="00CB3E00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比如有限</w:t>
      </w:r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差</w:t>
      </w:r>
      <w:r w:rsidR="00CB3E00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分法</w:t>
      </w:r>
      <w:r w:rsidR="00CB3E00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)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，</w:t>
      </w:r>
      <w:r w:rsidR="00CB3E00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其公式更具經濟意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涵，可以有經濟直覺的解釋</w:t>
      </w:r>
      <w:r w:rsidR="00CB3E00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。</w:t>
      </w:r>
      <w:r w:rsidR="009A448B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另外邊界元素法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="009A448B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(boundary element method)</w:t>
      </w:r>
      <w:r w:rsidR="009A448B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，從學術觀點來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看</w:t>
      </w:r>
      <w:r w:rsidR="009A448B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，邊界元素法是公認於工程</w:t>
      </w:r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或科學</w:t>
      </w:r>
      <w:r w:rsidR="009A448B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上</w:t>
      </w:r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解決邊界值問題</w:t>
      </w:r>
      <w:r w:rsidR="009A448B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非常有效率的一種數值方法，其特色在於只需對邊界層做分割而不需對定義域之內部做任何處理。邊界元素法除了可以節省對內部的龐大運算與儲存空間外，更</w:t>
      </w:r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可</w:t>
      </w:r>
      <w:r w:rsidR="009A448B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有效率</w:t>
      </w:r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地解決邊界值</w:t>
      </w:r>
      <w:r w:rsidR="009A448B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問題。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另外，蕭教授也以選擇權違約風險為例，分析邊界積分法如何</w:t>
      </w:r>
      <w:r w:rsidR="00A52A47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運用於信用風險</w:t>
      </w:r>
      <w:r w:rsidR="00E7521E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相關議題上。</w:t>
      </w:r>
    </w:p>
    <w:p w:rsidR="00A616B1" w:rsidRPr="00B62A52" w:rsidRDefault="00E7521E" w:rsidP="009A448B">
      <w:pPr>
        <w:spacing w:line="360" w:lineRule="auto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ab/>
      </w:r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參與成員則圍繞下列議題進行討論。第一，針對使用實際利率或無風險利率之限制；第二，是否對於</w:t>
      </w:r>
      <w:r w:rsidR="00A616B1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更複雜的</w:t>
      </w:r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研究，</w:t>
      </w:r>
      <w:r w:rsidR="000B6CDD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能</w:t>
      </w:r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提出</w:t>
      </w:r>
      <w:r w:rsidR="00A616B1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模組化</w:t>
      </w:r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邊界</w:t>
      </w:r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元素</w:t>
      </w:r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法的運用；第三</w:t>
      </w:r>
      <w:r w:rsidR="00A616B1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，</w:t>
      </w:r>
      <w:proofErr w:type="gramStart"/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不同衍</w:t>
      </w:r>
      <w:proofErr w:type="gramEnd"/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生性金融商品</w:t>
      </w:r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評價之</w:t>
      </w:r>
      <w:r w:rsidR="00A616B1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邊界</w:t>
      </w:r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值問題，是否能提出較有效率</w:t>
      </w:r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且</w:t>
      </w:r>
      <w:r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簡易的方法</w:t>
      </w:r>
      <w:r w:rsidR="00A52A47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來</w:t>
      </w:r>
      <w:bookmarkStart w:id="0" w:name="_GoBack"/>
      <w:r w:rsidR="001C594A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分析</w:t>
      </w:r>
      <w:bookmarkEnd w:id="0"/>
      <w:r w:rsidR="00A52A47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探討</w:t>
      </w:r>
      <w:r w:rsidR="00A616B1" w:rsidRPr="00B62A52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。</w:t>
      </w:r>
    </w:p>
    <w:sectPr w:rsidR="00A616B1" w:rsidRPr="00B62A52" w:rsidSect="00725F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8E" w:rsidRDefault="00D85D8E" w:rsidP="0063313F">
      <w:r>
        <w:separator/>
      </w:r>
    </w:p>
  </w:endnote>
  <w:endnote w:type="continuationSeparator" w:id="0">
    <w:p w:rsidR="00D85D8E" w:rsidRDefault="00D85D8E" w:rsidP="00633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8E" w:rsidRDefault="00D85D8E" w:rsidP="0063313F">
      <w:r>
        <w:separator/>
      </w:r>
    </w:p>
  </w:footnote>
  <w:footnote w:type="continuationSeparator" w:id="0">
    <w:p w:rsidR="00D85D8E" w:rsidRDefault="00D85D8E" w:rsidP="00633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85F"/>
    <w:multiLevelType w:val="hybridMultilevel"/>
    <w:tmpl w:val="F5289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581E0F"/>
    <w:multiLevelType w:val="hybridMultilevel"/>
    <w:tmpl w:val="3EE2E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367FD3"/>
    <w:multiLevelType w:val="hybridMultilevel"/>
    <w:tmpl w:val="8C04D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095800"/>
    <w:multiLevelType w:val="hybridMultilevel"/>
    <w:tmpl w:val="DD0A6202"/>
    <w:lvl w:ilvl="0" w:tplc="5AFCE498">
      <w:start w:val="1"/>
      <w:numFmt w:val="decimal"/>
      <w:lvlText w:val="%1."/>
      <w:lvlJc w:val="left"/>
      <w:pPr>
        <w:ind w:left="480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533E65"/>
    <w:multiLevelType w:val="hybridMultilevel"/>
    <w:tmpl w:val="3274D5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DFE13A3"/>
    <w:multiLevelType w:val="hybridMultilevel"/>
    <w:tmpl w:val="5400EEB2"/>
    <w:lvl w:ilvl="0" w:tplc="A5345184">
      <w:start w:val="1"/>
      <w:numFmt w:val="decimal"/>
      <w:lvlText w:val="%1."/>
      <w:lvlJc w:val="left"/>
      <w:pPr>
        <w:ind w:left="480" w:hanging="480"/>
      </w:pPr>
      <w:rPr>
        <w:b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D74A77"/>
    <w:multiLevelType w:val="hybridMultilevel"/>
    <w:tmpl w:val="FF1EE1A8"/>
    <w:lvl w:ilvl="0" w:tplc="BE6006C4">
      <w:start w:val="1"/>
      <w:numFmt w:val="decimalEnclosedCircle"/>
      <w:lvlText w:val="%1"/>
      <w:lvlJc w:val="left"/>
      <w:pPr>
        <w:ind w:left="1065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>
    <w:nsid w:val="685F43F3"/>
    <w:multiLevelType w:val="hybridMultilevel"/>
    <w:tmpl w:val="F18286E4"/>
    <w:lvl w:ilvl="0" w:tplc="A5345184">
      <w:start w:val="1"/>
      <w:numFmt w:val="decimal"/>
      <w:lvlText w:val="%1."/>
      <w:lvlJc w:val="left"/>
      <w:pPr>
        <w:ind w:left="480" w:hanging="480"/>
      </w:pPr>
      <w:rPr>
        <w:b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B3A5D9C"/>
    <w:multiLevelType w:val="hybridMultilevel"/>
    <w:tmpl w:val="7C14703C"/>
    <w:lvl w:ilvl="0" w:tplc="7AF22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40823BD"/>
    <w:multiLevelType w:val="hybridMultilevel"/>
    <w:tmpl w:val="7D56EC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63D5DC8"/>
    <w:multiLevelType w:val="hybridMultilevel"/>
    <w:tmpl w:val="BED8E2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7AA"/>
    <w:rsid w:val="0001313D"/>
    <w:rsid w:val="00024D9D"/>
    <w:rsid w:val="00051D21"/>
    <w:rsid w:val="000A758E"/>
    <w:rsid w:val="000B6CDD"/>
    <w:rsid w:val="000E30EC"/>
    <w:rsid w:val="001010DE"/>
    <w:rsid w:val="001370B3"/>
    <w:rsid w:val="001C594A"/>
    <w:rsid w:val="001D1A73"/>
    <w:rsid w:val="00215899"/>
    <w:rsid w:val="0027155D"/>
    <w:rsid w:val="00291513"/>
    <w:rsid w:val="002C191F"/>
    <w:rsid w:val="00452169"/>
    <w:rsid w:val="004B10A7"/>
    <w:rsid w:val="005A1287"/>
    <w:rsid w:val="005B77FC"/>
    <w:rsid w:val="00600C83"/>
    <w:rsid w:val="0063313F"/>
    <w:rsid w:val="0063622A"/>
    <w:rsid w:val="006571AC"/>
    <w:rsid w:val="00672201"/>
    <w:rsid w:val="006D0030"/>
    <w:rsid w:val="006F04F5"/>
    <w:rsid w:val="006F48BA"/>
    <w:rsid w:val="00714FFF"/>
    <w:rsid w:val="00725F7E"/>
    <w:rsid w:val="007270E1"/>
    <w:rsid w:val="00793B72"/>
    <w:rsid w:val="007C754C"/>
    <w:rsid w:val="008477AA"/>
    <w:rsid w:val="00851B49"/>
    <w:rsid w:val="00861550"/>
    <w:rsid w:val="008708AD"/>
    <w:rsid w:val="00883998"/>
    <w:rsid w:val="0088769B"/>
    <w:rsid w:val="008C1D3E"/>
    <w:rsid w:val="008D17C3"/>
    <w:rsid w:val="008E54CC"/>
    <w:rsid w:val="00975F89"/>
    <w:rsid w:val="009837D4"/>
    <w:rsid w:val="009A448B"/>
    <w:rsid w:val="00A35A5E"/>
    <w:rsid w:val="00A52A47"/>
    <w:rsid w:val="00A616B1"/>
    <w:rsid w:val="00AC56E2"/>
    <w:rsid w:val="00AC6B7E"/>
    <w:rsid w:val="00B62A52"/>
    <w:rsid w:val="00BD2DD2"/>
    <w:rsid w:val="00BE45F9"/>
    <w:rsid w:val="00C13C38"/>
    <w:rsid w:val="00C94AFE"/>
    <w:rsid w:val="00CB3E00"/>
    <w:rsid w:val="00D042E4"/>
    <w:rsid w:val="00D079D7"/>
    <w:rsid w:val="00D25B2C"/>
    <w:rsid w:val="00D27129"/>
    <w:rsid w:val="00D42CD5"/>
    <w:rsid w:val="00D85D8E"/>
    <w:rsid w:val="00D85FEB"/>
    <w:rsid w:val="00DB5AF0"/>
    <w:rsid w:val="00DD40CC"/>
    <w:rsid w:val="00DF5DD7"/>
    <w:rsid w:val="00E7521E"/>
    <w:rsid w:val="00EA1722"/>
    <w:rsid w:val="00EC6418"/>
    <w:rsid w:val="00EF6166"/>
    <w:rsid w:val="00F05478"/>
    <w:rsid w:val="00F80608"/>
    <w:rsid w:val="00FD134C"/>
    <w:rsid w:val="00FD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3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3313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33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3313F"/>
    <w:rPr>
      <w:sz w:val="20"/>
      <w:szCs w:val="20"/>
    </w:rPr>
  </w:style>
  <w:style w:type="paragraph" w:styleId="a8">
    <w:name w:val="List Paragraph"/>
    <w:basedOn w:val="a"/>
    <w:uiPriority w:val="34"/>
    <w:qFormat/>
    <w:rsid w:val="001370B3"/>
    <w:pPr>
      <w:ind w:leftChars="200" w:left="480"/>
    </w:pPr>
  </w:style>
  <w:style w:type="character" w:styleId="a9">
    <w:name w:val="Emphasis"/>
    <w:basedOn w:val="a0"/>
    <w:uiPriority w:val="20"/>
    <w:qFormat/>
    <w:rsid w:val="001370B3"/>
    <w:rPr>
      <w:i/>
      <w:iCs/>
    </w:rPr>
  </w:style>
  <w:style w:type="character" w:styleId="HTML">
    <w:name w:val="HTML Cite"/>
    <w:basedOn w:val="a0"/>
    <w:uiPriority w:val="99"/>
    <w:unhideWhenUsed/>
    <w:rsid w:val="001370B3"/>
    <w:rPr>
      <w:i/>
      <w:iCs/>
    </w:rPr>
  </w:style>
  <w:style w:type="character" w:styleId="aa">
    <w:name w:val="Hyperlink"/>
    <w:basedOn w:val="a0"/>
    <w:uiPriority w:val="99"/>
    <w:unhideWhenUsed/>
    <w:rsid w:val="00024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8D06-10BB-4DE7-8B08-871D894A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2011-05-04T08:32:00Z</dcterms:created>
  <dcterms:modified xsi:type="dcterms:W3CDTF">2011-05-04T08:33:00Z</dcterms:modified>
</cp:coreProperties>
</file>